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 w:val="0"/>
          <w:i/>
          <w:color w:val="961E1E"/>
          <w:sz w:val="18"/>
        </w:rPr>
        <w:t>ПРОЕКТ — типовая форма. Условия конкретной поставки согласуются сторонами; по госконтракту применяется форма заказчика.</w:t>
      </w:r>
    </w:p>
    <w:p>
      <w:pPr>
        <w:spacing w:after="40"/>
        <w:jc w:val="center"/>
      </w:pPr>
      <w:r>
        <w:rPr>
          <w:b/>
          <w:i w:val="0"/>
          <w:sz w:val="26"/>
        </w:rPr>
        <w:t>Договор поставки № ______</w:t>
      </w:r>
    </w:p>
    <w:p>
      <w:pPr>
        <w:spacing w:after="200"/>
      </w:pPr>
      <w:r>
        <w:rPr>
          <w:b w:val="0"/>
          <w:i w:val="0"/>
        </w:rPr>
        <w:t>г. Москва                                                                                                      «__» ________ 2026 г.</w:t>
      </w:r>
    </w:p>
    <w:p>
      <w:pPr>
        <w:spacing w:after="80"/>
        <w:jc w:val="both"/>
      </w:pPr>
      <w:r>
        <w:rPr>
          <w:b w:val="0"/>
          <w:i w:val="0"/>
        </w:rPr>
        <w:t>Общество с ограниченной ответственностью «ТЕХНОСНАБ», именуемое в дальнейшем «Поставщик», в лице генерального директора Шарутина Андрея Юрьевича, действующего на основании Устава, с одной стороны, и ________________________________, именуемое в дальнейшем «Покупатель», в лице ____________________, действующего на основании ________, с другой стороны, заключили настоящий договор о нижеследующем.</w:t>
      </w:r>
    </w:p>
    <w:p>
      <w:pPr>
        <w:spacing w:after="40"/>
      </w:pPr>
      <w:r>
        <w:rPr>
          <w:b/>
          <w:i w:val="0"/>
        </w:rPr>
        <w:t>1. Предмет договора</w:t>
      </w:r>
    </w:p>
    <w:p>
      <w:pPr>
        <w:spacing w:after="40"/>
        <w:jc w:val="both"/>
      </w:pPr>
      <w:r>
        <w:rPr>
          <w:b w:val="0"/>
          <w:i w:val="0"/>
        </w:rPr>
        <w:t>1.1. Поставщик обязуется передать в собственность Покупателя двигатели для беспилотных летательных аппаратов и комплектующие (далее — Товар), а Покупатель обязуется принять и оплатить Товар.</w:t>
      </w:r>
    </w:p>
    <w:p>
      <w:pPr>
        <w:spacing w:after="40"/>
        <w:jc w:val="both"/>
      </w:pPr>
      <w:r>
        <w:rPr>
          <w:b w:val="0"/>
          <w:i w:val="0"/>
        </w:rPr>
        <w:t>1.2. Наименование, модель, комплектность, количество, цена и срок поставки Товара указываются в спецификациях, которые являются неотъемлемой частью договора (Приложение № 1).</w:t>
      </w:r>
    </w:p>
    <w:p>
      <w:pPr>
        <w:spacing w:after="40"/>
        <w:jc w:val="both"/>
      </w:pPr>
      <w:r>
        <w:rPr>
          <w:b w:val="0"/>
          <w:i w:val="0"/>
        </w:rPr>
        <w:t>1.3. Технические характеристики Товара указываются в спецификации и подтверждаются эксплуатационной документацией производителя.</w:t>
      </w:r>
    </w:p>
    <w:p>
      <w:pPr>
        <w:spacing w:after="40"/>
      </w:pPr>
      <w:r>
        <w:rPr>
          <w:b/>
          <w:i w:val="0"/>
        </w:rPr>
        <w:t>2. Цена и порядок расчётов</w:t>
      </w:r>
    </w:p>
    <w:p>
      <w:pPr>
        <w:spacing w:after="40"/>
        <w:jc w:val="both"/>
      </w:pPr>
      <w:r>
        <w:rPr>
          <w:b w:val="0"/>
          <w:i w:val="0"/>
        </w:rPr>
        <w:t>2.1. Цена Товара указывается в спецификации в рублях. Порядок налогообложения указывается в спецификации.</w:t>
      </w:r>
    </w:p>
    <w:p>
      <w:pPr>
        <w:spacing w:after="40"/>
        <w:jc w:val="both"/>
      </w:pPr>
      <w:r>
        <w:rPr>
          <w:b w:val="0"/>
          <w:i w:val="0"/>
        </w:rPr>
        <w:t>2.2. Если иное не установлено спецификацией: за тестовый образец Покупатель вносит предоплату 100 %; за партию — предоплату 50 % в течение 5 рабочих дней с даты счёта и оставшиеся 50 % — до отгрузки по уведомлению Поставщика о готовности Товара.</w:t>
      </w:r>
    </w:p>
    <w:p>
      <w:pPr>
        <w:spacing w:after="40"/>
        <w:jc w:val="both"/>
      </w:pPr>
      <w:r>
        <w:rPr>
          <w:b w:val="0"/>
          <w:i w:val="0"/>
        </w:rPr>
        <w:t>2.3. Обязательство по оплате считается исполненным с даты зачисления денежных средств на расчётный счёт Поставщика.</w:t>
      </w:r>
    </w:p>
    <w:p>
      <w:pPr>
        <w:spacing w:after="40"/>
      </w:pPr>
      <w:r>
        <w:rPr>
          <w:b/>
          <w:i w:val="0"/>
        </w:rPr>
        <w:t>3. Сроки и условия поставки</w:t>
      </w:r>
    </w:p>
    <w:p>
      <w:pPr>
        <w:spacing w:after="40"/>
        <w:jc w:val="both"/>
      </w:pPr>
      <w:r>
        <w:rPr>
          <w:b w:val="0"/>
          <w:i w:val="0"/>
        </w:rPr>
        <w:t>3.1. Срок поставки указывается в спецификации и исчисляется с даты поступления предоплаты, если спецификацией не установлено иное.</w:t>
      </w:r>
    </w:p>
    <w:p>
      <w:pPr>
        <w:spacing w:after="40"/>
        <w:jc w:val="both"/>
      </w:pPr>
      <w:r>
        <w:rPr>
          <w:b w:val="0"/>
          <w:i w:val="0"/>
        </w:rPr>
        <w:t>3.2. Поставка осуществляется транспортной компанией до адреса, указанного Покупателем, или самовывозом. Способ доставки и порядок оплаты доставки указываются в спецификации.</w:t>
      </w:r>
    </w:p>
    <w:p>
      <w:pPr>
        <w:spacing w:after="40"/>
        <w:jc w:val="both"/>
      </w:pPr>
      <w:r>
        <w:rPr>
          <w:b w:val="0"/>
          <w:i w:val="0"/>
        </w:rPr>
        <w:t>3.3. Риск случайной гибели или повреждения Товара переходит к Покупателю с момента передачи Товара первому перевозчику или Покупателю при самовывозе, если иное не указано в спецификации.</w:t>
      </w:r>
    </w:p>
    <w:p>
      <w:pPr>
        <w:spacing w:after="40"/>
        <w:jc w:val="both"/>
      </w:pPr>
      <w:r>
        <w:rPr>
          <w:b w:val="0"/>
          <w:i w:val="0"/>
        </w:rPr>
        <w:t>3.4. Вместе с Товаром передаются: паспорт (формуляр) с заводским номером, руководство по эксплуатации на русском языке, универсальный передаточный документ (УПД) и иные документы, указанные в спецификации.</w:t>
      </w:r>
    </w:p>
    <w:p>
      <w:pPr>
        <w:spacing w:after="40"/>
      </w:pPr>
      <w:r>
        <w:rPr>
          <w:b/>
          <w:i w:val="0"/>
        </w:rPr>
        <w:t>4. Приёмка Товара</w:t>
      </w:r>
    </w:p>
    <w:p>
      <w:pPr>
        <w:spacing w:after="40"/>
        <w:jc w:val="both"/>
      </w:pPr>
      <w:r>
        <w:rPr>
          <w:b w:val="0"/>
          <w:i w:val="0"/>
        </w:rPr>
        <w:t>4.1. Приёмка по количеству мест и целостности упаковки производится при получении Товара. Повреждения упаковки фиксируются в транспортных документах.</w:t>
      </w:r>
    </w:p>
    <w:p>
      <w:pPr>
        <w:spacing w:after="40"/>
        <w:jc w:val="both"/>
      </w:pPr>
      <w:r>
        <w:rPr>
          <w:b w:val="0"/>
          <w:i w:val="0"/>
        </w:rPr>
        <w:t>4.2. Приёмка по количеству единиц, комплектности и внешнему виду производится в течение 10 рабочих дней с даты получения Товара.</w:t>
      </w:r>
    </w:p>
    <w:p>
      <w:pPr>
        <w:spacing w:after="40"/>
        <w:jc w:val="both"/>
      </w:pPr>
      <w:r>
        <w:rPr>
          <w:b w:val="0"/>
          <w:i w:val="0"/>
        </w:rPr>
        <w:t>4.3. Приёмка по качеству, включая выборочные испытания по согласованной методике, производится в течение ____ рабочих дней с даты получения Товара.</w:t>
      </w:r>
    </w:p>
    <w:p>
      <w:pPr>
        <w:spacing w:after="40"/>
        <w:jc w:val="both"/>
      </w:pPr>
      <w:r>
        <w:rPr>
          <w:b w:val="0"/>
          <w:i w:val="0"/>
        </w:rPr>
        <w:t>4.4. При выявлении несоответствий Покупатель составляет акт и направляет его Поставщику в течение 3 рабочих дней с даты выявления. Поставщик в течение ____ рабочих дней допоставляет недостающий Товар или заменяет несоответствующий.</w:t>
      </w:r>
    </w:p>
    <w:p>
      <w:pPr>
        <w:spacing w:after="40"/>
      </w:pPr>
      <w:r>
        <w:rPr>
          <w:b/>
          <w:i w:val="0"/>
        </w:rPr>
        <w:t>5. Качество и гарантия</w:t>
      </w:r>
    </w:p>
    <w:p>
      <w:pPr>
        <w:spacing w:after="40"/>
        <w:jc w:val="both"/>
      </w:pPr>
      <w:r>
        <w:rPr>
          <w:b w:val="0"/>
          <w:i w:val="0"/>
        </w:rPr>
        <w:t>5.1. Качество Товара должно соответствовать характеристикам, указанным в спецификации и документации производителя.</w:t>
      </w:r>
    </w:p>
    <w:p>
      <w:pPr>
        <w:spacing w:after="40"/>
        <w:jc w:val="both"/>
      </w:pPr>
      <w:r>
        <w:rPr>
          <w:b w:val="0"/>
          <w:i w:val="0"/>
        </w:rPr>
        <w:t>5.2. На Товар распространяется гарантия производителя. Срок гарантии (в месяцах и (или) часах наработки) и условия её сохранения указываются в спецификации.</w:t>
      </w:r>
    </w:p>
    <w:p>
      <w:pPr>
        <w:spacing w:after="40"/>
        <w:jc w:val="both"/>
      </w:pPr>
      <w:r>
        <w:rPr>
          <w:b w:val="0"/>
          <w:i w:val="0"/>
        </w:rPr>
        <w:t>5.3. Гарантия не распространяется на недостатки, возникшие вследствие нарушения Покупателем требований руководства по эксплуатации, в том числе требований к топливу, маслу и режимам работы.</w:t>
      </w:r>
    </w:p>
    <w:p>
      <w:pPr>
        <w:spacing w:after="40"/>
      </w:pPr>
      <w:r>
        <w:rPr>
          <w:b/>
          <w:i w:val="0"/>
        </w:rPr>
        <w:t>6. Ответственность сторон</w:t>
      </w:r>
    </w:p>
    <w:p>
      <w:pPr>
        <w:spacing w:after="40"/>
        <w:jc w:val="both"/>
      </w:pPr>
      <w:r>
        <w:rPr>
          <w:b w:val="0"/>
          <w:i w:val="0"/>
        </w:rPr>
        <w:t>6.1. За просрочку поставки Покупатель вправе потребовать уплаты неустойки в размере 0,1 % от стоимости непоставленного в срок Товара за каждый день просрочки, но не более 10 % от его стоимости.</w:t>
      </w:r>
    </w:p>
    <w:p>
      <w:pPr>
        <w:spacing w:after="40"/>
        <w:jc w:val="both"/>
      </w:pPr>
      <w:r>
        <w:rPr>
          <w:b w:val="0"/>
          <w:i w:val="0"/>
        </w:rPr>
        <w:t>6.2. За просрочку оплаты Поставщик вправе потребовать уплаты неустойки в размере 0,1 % от неоплаченной суммы за каждый день просрочки, но не более 10 % от неоплаченной суммы.</w:t>
      </w:r>
    </w:p>
    <w:p>
      <w:pPr>
        <w:spacing w:after="40"/>
        <w:jc w:val="both"/>
      </w:pPr>
      <w:r>
        <w:rPr>
          <w:b w:val="0"/>
          <w:i w:val="0"/>
        </w:rPr>
        <w:t>6.3. Если Товар не поставлен в течение 30 календарных дней после истечения срока поставки, Покупатель вправе отказаться от договора в соответствующей части и потребовать возврата предоплаты.</w:t>
      </w:r>
    </w:p>
    <w:p>
      <w:pPr>
        <w:spacing w:after="40"/>
      </w:pPr>
      <w:r>
        <w:rPr>
          <w:b/>
          <w:i w:val="0"/>
        </w:rPr>
        <w:t>7. Обстоятельства непреодолимой силы</w:t>
      </w:r>
    </w:p>
    <w:p>
      <w:pPr>
        <w:spacing w:after="40"/>
        <w:jc w:val="both"/>
      </w:pPr>
      <w:r>
        <w:rPr>
          <w:b w:val="0"/>
          <w:i w:val="0"/>
        </w:rPr>
        <w:t>7.1. Стороны освобождаются от ответственности за неисполнение обязательств, вызванное обстоятельствами непреодолимой силы, при условии письменного уведомления другой стороны в течение 5 рабочих дней с момента их наступления.</w:t>
      </w:r>
    </w:p>
    <w:p>
      <w:pPr>
        <w:spacing w:after="40"/>
      </w:pPr>
      <w:r>
        <w:rPr>
          <w:b/>
          <w:i w:val="0"/>
        </w:rPr>
        <w:t>8. Разрешение споров</w:t>
      </w:r>
    </w:p>
    <w:p>
      <w:pPr>
        <w:spacing w:after="40"/>
        <w:jc w:val="both"/>
      </w:pPr>
      <w:r>
        <w:rPr>
          <w:b w:val="0"/>
          <w:i w:val="0"/>
        </w:rPr>
        <w:t>8.1. Споры разрешаются путём переговоров. Претензионный порядок обязателен; срок ответа на претензию — 15 рабочих дней.</w:t>
      </w:r>
    </w:p>
    <w:p>
      <w:pPr>
        <w:spacing w:after="40"/>
        <w:jc w:val="both"/>
      </w:pPr>
      <w:r>
        <w:rPr>
          <w:b w:val="0"/>
          <w:i w:val="0"/>
        </w:rPr>
        <w:t>8.2. При недостижении согласия спор передаётся в Арбитражный суд города Москвы.</w:t>
      </w:r>
    </w:p>
    <w:p>
      <w:pPr>
        <w:spacing w:after="40"/>
      </w:pPr>
      <w:r>
        <w:rPr>
          <w:b/>
          <w:i w:val="0"/>
        </w:rPr>
        <w:t>9. Заключительные положения</w:t>
      </w:r>
    </w:p>
    <w:p>
      <w:pPr>
        <w:spacing w:after="40"/>
        <w:jc w:val="both"/>
      </w:pPr>
      <w:r>
        <w:rPr>
          <w:b w:val="0"/>
          <w:i w:val="0"/>
        </w:rPr>
        <w:t>9.1. Договор вступает в силу с даты подписания и действует до 31 декабря 2026 г., а в части расчётов и гарантийных обязательств — до полного их исполнения.</w:t>
      </w:r>
    </w:p>
    <w:p>
      <w:pPr>
        <w:spacing w:after="40"/>
        <w:jc w:val="both"/>
      </w:pPr>
      <w:r>
        <w:rPr>
          <w:b w:val="0"/>
          <w:i w:val="0"/>
        </w:rPr>
        <w:t>9.2. Документы, подписанные и переданные по электронной почте, имеют силу до обмена оригиналами. Стороны вправе обмениваться документами через систему ЭДО.</w:t>
      </w:r>
    </w:p>
    <w:p>
      <w:pPr>
        <w:spacing w:after="40"/>
        <w:jc w:val="both"/>
      </w:pPr>
      <w:r>
        <w:rPr>
          <w:b w:val="0"/>
          <w:i w:val="0"/>
        </w:rPr>
        <w:t>9.3. Договор составлен в двух экземплярах, по одному для каждой стороны.</w:t>
      </w:r>
    </w:p>
    <w:p>
      <w:pPr>
        <w:spacing w:after="80"/>
      </w:pPr>
      <w:r>
        <w:rPr>
          <w:b/>
          <w:i w:val="0"/>
        </w:rPr>
        <w:t>10. Реквизиты и подписи сторон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fill="E8E6E1"/>
          </w:tcPr>
          <w:p>
            <w:r/>
            <w:r>
              <w:rPr>
                <w:b/>
                <w:sz w:val="18"/>
              </w:rPr>
              <w:t>Поставщик</w:t>
            </w:r>
          </w:p>
        </w:tc>
        <w:tc>
          <w:tcPr>
            <w:tcW w:type="dxa" w:w="4819"/>
            <w:shd w:val="clear" w:fill="E8E6E1"/>
          </w:tcPr>
          <w:p>
            <w:r/>
            <w:r>
              <w:rPr>
                <w:b/>
                <w:sz w:val="18"/>
              </w:rPr>
              <w:t>Покупатель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8"/>
              </w:rPr>
              <w:t>Полное наименование: Общество с ограниченной ответственностью «ТЕХНОСНАБ»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8"/>
              </w:rPr>
              <w:t>ИНН / КПП: 5027250381 / 772501001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8"/>
              </w:rPr>
              <w:t>ОГРН: 1175027006571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8"/>
              </w:rPr>
              <w:t>Юридический адрес: 115088, г. Москва, ул. Симоновский Вал, д. 16, кв. 175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8"/>
              </w:rPr>
              <w:t>Банк: ПАО Сбербанк, БИК 044525225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8"/>
              </w:rPr>
              <w:t>Расчётный счёт: 40702810240000121636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8"/>
              </w:rPr>
              <w:t>Корр. счёт: 30101810400000000225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8"/>
              </w:rPr>
              <w:t>Направление UAV Parts: uav-parts.ru · +7 (903) 280-28-82 · info@uav-parts.ru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8"/>
              </w:rPr>
              <w:t>Генеральный директор</w:t>
              <w:br/>
              <w:br/>
              <w:t>____________ / А.Ю. Шарутин</w:t>
              <w:br/>
              <w:t>М.П.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____________________</w:t>
              <w:br/>
              <w:br/>
              <w:t>____________ / ____________</w:t>
              <w:br/>
              <w:t>М.П.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80"/>
        <w:jc w:val="right"/>
      </w:pPr>
      <w:r>
        <w:rPr>
          <w:b/>
          <w:i w:val="0"/>
          <w:sz w:val="20"/>
        </w:rPr>
        <w:t>Приложение № 1 к договору поставки № ______ от «__» ________ 2026 г.</w:t>
      </w:r>
    </w:p>
    <w:p>
      <w:pPr>
        <w:spacing w:after="80"/>
        <w:jc w:val="center"/>
      </w:pPr>
      <w:r>
        <w:rPr>
          <w:b/>
          <w:i w:val="0"/>
          <w:sz w:val="24"/>
        </w:rPr>
        <w:t>Спецификация № 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54"/>
        <w:gridCol w:w="2551"/>
        <w:gridCol w:w="2381"/>
        <w:gridCol w:w="567"/>
        <w:gridCol w:w="794"/>
        <w:gridCol w:w="1417"/>
        <w:gridCol w:w="1417"/>
      </w:tblGrid>
      <w:tr>
        <w:tc>
          <w:tcPr>
            <w:tcW w:type="dxa" w:w="454"/>
            <w:shd w:val="clear" w:fill="E8E6E1"/>
          </w:tcPr>
          <w:p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2551"/>
            <w:shd w:val="clear" w:fill="E8E6E1"/>
          </w:tcPr>
          <w:p>
            <w:r/>
            <w:r>
              <w:rPr>
                <w:b/>
                <w:sz w:val="18"/>
              </w:rPr>
              <w:t>Наименование и модель</w:t>
            </w:r>
          </w:p>
        </w:tc>
        <w:tc>
          <w:tcPr>
            <w:tcW w:type="dxa" w:w="2381"/>
            <w:shd w:val="clear" w:fill="E8E6E1"/>
          </w:tcPr>
          <w:p>
            <w:r/>
            <w:r>
              <w:rPr>
                <w:b/>
                <w:sz w:val="18"/>
              </w:rPr>
              <w:t>Комплектность</w:t>
            </w:r>
          </w:p>
        </w:tc>
        <w:tc>
          <w:tcPr>
            <w:tcW w:type="dxa" w:w="567"/>
            <w:shd w:val="clear" w:fill="E8E6E1"/>
          </w:tcPr>
          <w:p>
            <w:r/>
            <w:r>
              <w:rPr>
                <w:b/>
                <w:sz w:val="18"/>
              </w:rPr>
              <w:t>Ед.</w:t>
            </w:r>
          </w:p>
        </w:tc>
        <w:tc>
          <w:tcPr>
            <w:tcW w:type="dxa" w:w="794"/>
            <w:shd w:val="clear" w:fill="E8E6E1"/>
          </w:tcPr>
          <w:p>
            <w:r/>
            <w:r>
              <w:rPr>
                <w:b/>
                <w:sz w:val="18"/>
              </w:rPr>
              <w:t>Кол-во</w:t>
            </w:r>
          </w:p>
        </w:tc>
        <w:tc>
          <w:tcPr>
            <w:tcW w:type="dxa" w:w="1417"/>
            <w:shd w:val="clear" w:fill="E8E6E1"/>
          </w:tcPr>
          <w:p>
            <w:r/>
            <w:r>
              <w:rPr>
                <w:b/>
                <w:sz w:val="18"/>
              </w:rPr>
              <w:t>Цена за ед., ₽</w:t>
            </w:r>
          </w:p>
        </w:tc>
        <w:tc>
          <w:tcPr>
            <w:tcW w:type="dxa" w:w="1417"/>
            <w:shd w:val="clear" w:fill="E8E6E1"/>
          </w:tcPr>
          <w:p>
            <w:r/>
            <w:r>
              <w:rPr>
                <w:b/>
                <w:sz w:val="18"/>
              </w:rPr>
              <w:t>Сумма, ₽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sz w:val="18"/>
              </w:rPr>
              <w:t>шт.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Итого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56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402"/>
        <w:gridCol w:w="6236"/>
      </w:tblGrid>
      <w:tr>
        <w:tc>
          <w:tcPr>
            <w:tcW w:type="dxa" w:w="3402"/>
            <w:shd w:val="clear" w:fill="E8E6E1"/>
          </w:tcPr>
          <w:p>
            <w:r/>
            <w:r>
              <w:rPr>
                <w:b/>
                <w:sz w:val="18"/>
              </w:rPr>
              <w:t>Условие</w:t>
            </w:r>
          </w:p>
        </w:tc>
        <w:tc>
          <w:tcPr>
            <w:tcW w:type="dxa" w:w="6236"/>
            <w:shd w:val="clear" w:fill="E8E6E1"/>
          </w:tcPr>
          <w:p>
            <w:r/>
            <w:r>
              <w:rPr>
                <w:b/>
                <w:sz w:val="18"/>
              </w:rPr>
              <w:t>Значение</w:t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Порядок налогообложения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Срок поставки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Условия оплаты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Адрес и способ доставки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Гарантия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Документы при поставке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sz w:val="18"/>
              </w:rPr>
              <w:t>Страна происхождения</w:t>
            </w:r>
          </w:p>
        </w:tc>
        <w:tc>
          <w:tcPr>
            <w:tcW w:type="dxa" w:w="6236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sz w:val="18"/>
              </w:rPr>
              <w:t>Поставщик: ____________ / А.Ю. Шарутин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Покупатель: ____________ / ____________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666666"/>
        <w:sz w:val="16"/>
      </w:rPr>
      <w:t>UAV Parts — направление ООО «ТЕХНОСНАБ» · ИНН 5027250381 · ОГРН 1175027006571</w:t>
      <w:br/>
      <w:t>Юр. адрес: 115088, г. Москва, ул. Симоновский Вал, д. 16, кв. 175 · Офис: Московская обл., г. Одинцово, ул. Маршала Неделина, 6А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102"/>
      <w:gridCol w:w="4535"/>
    </w:tblGrid>
    <w:tr>
      <w:tc>
        <w:tcPr>
          <w:tcW w:type="dxa" w:w="5102"/>
        </w:tcPr>
        <w:p>
          <w:r>
            <w:drawing>
              <wp:inline xmlns:a="http://schemas.openxmlformats.org/drawingml/2006/main" xmlns:pic="http://schemas.openxmlformats.org/drawingml/2006/picture">
                <wp:extent cx="2232000" cy="54312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2000" cy="5431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35"/>
        </w:tcPr>
        <w:p>
          <w:pPr>
            <w:jc w:val="right"/>
          </w:pPr>
          <w:r>
            <w:rPr>
              <w:rFonts w:ascii="Liberation Sans" w:hAnsi="Liberation Sans"/>
              <w:color w:val="333333"/>
              <w:sz w:val="20"/>
            </w:rPr>
            <w:t>uav-parts.ru</w:t>
            <w:br/>
          </w:r>
          <w:r>
            <w:rPr>
              <w:rFonts w:ascii="Liberation Sans" w:hAnsi="Liberation Sans"/>
              <w:color w:val="333333"/>
              <w:sz w:val="20"/>
            </w:rPr>
            <w:t>+7 (903) 280-28-82</w:t>
            <w:br/>
          </w:r>
          <w:r>
            <w:rPr>
              <w:rFonts w:ascii="Liberation Sans" w:hAnsi="Liberation Sans"/>
              <w:color w:val="333333"/>
              <w:sz w:val="20"/>
            </w:rPr>
            <w:t>info@uav-parts.ru</w:t>
          </w:r>
        </w:p>
      </w:tc>
    </w:tr>
  </w:tbl>
  <w:p>
    <w:pPr>
      <w:pBdr>
        <w:bottom w:val="single" w:sz="8" w:color="C8642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erif" w:hAnsi="Liberation Serif" w:eastAsia="Liberation Seri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